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49a1e1dbe5bb825314e9277747ca3dc75a3cb"/>
    <w:p>
      <w:pPr>
        <w:pStyle w:val="Heading3"/>
      </w:pPr>
      <w:r>
        <w:t xml:space="preserve">О результатах работы прокуратуры Северо-Восточного административного округа г. Москвы в 2019 г.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t xml:space="preserve">О результатах работы прокуратуры Северо-Восточного административного округа г. Москвы в 2019 г.</w:t>
      </w:r>
    </w:p>
    <w:p>
      <w:pPr>
        <w:pStyle w:val="BodyText"/>
      </w:pPr>
      <w:r>
        <w:t xml:space="preserve">В истекшем году прокуратура Северо-Восточного административного округа г. Москвы последовательно добивалась повышения эффективности и действенности прокурорского надзора в деле укрепления законности и правопорядка, организации взаимодействия с органами власти и контролирующими структурами.</w:t>
      </w:r>
    </w:p>
    <w:p>
      <w:pPr>
        <w:pStyle w:val="BodyText"/>
      </w:pPr>
      <w:r>
        <w:t xml:space="preserve">При осуществлении надзора за исполнением законов повышенное внимание уделялось приоритетным направлениям, а именно защите прав и законных интересов граждан, противодействию коррупции, координации деятельности органов правопорядка по борьбе с преступностью и профилактике правонарушений.</w:t>
      </w:r>
    </w:p>
    <w:p>
      <w:pPr>
        <w:pStyle w:val="BodyText"/>
      </w:pPr>
      <w:r>
        <w:t xml:space="preserve">Несмотря принимаемые совместно с правоохранительными органами меры, в прошедшем году криминогенная ситуация в округе продолжала оставаться сложной. Наблюдается небольшой рост зарегистрированных преступлений на 6%. По итогам года на территории округа зарегистрировано 13484 преступления.</w:t>
      </w:r>
    </w:p>
    <w:p>
      <w:pPr>
        <w:pStyle w:val="BodyText"/>
      </w:pPr>
      <w:r>
        <w:t xml:space="preserve">В округе отмечен небольшой рост на 3,5 % количества зарегистрированных тяжких преступлений – 2820, раскрываемость их составила – 44,8% при общегородской – 33,5%.</w:t>
      </w:r>
    </w:p>
    <w:p>
      <w:pPr>
        <w:pStyle w:val="BodyText"/>
      </w:pPr>
      <w:r>
        <w:t xml:space="preserve">Одновременно на 19% зарегистрировано меньше особо тяжких преступления (615 против 760). Раскрываемость этой категории существенно выросла и составила 51 % против 37 % в прошлом году, при общегородском показателе раскрываемости - 40 %.</w:t>
      </w:r>
    </w:p>
    <w:p>
      <w:pPr>
        <w:pStyle w:val="BodyText"/>
      </w:pPr>
      <w:r>
        <w:t xml:space="preserve">В прошлом году в округе на 15% (с 421 до 358) уменьшилось число грабежей, их раскрываемость составила 51,8%.</w:t>
      </w:r>
    </w:p>
    <w:p>
      <w:pPr>
        <w:pStyle w:val="BodyText"/>
      </w:pPr>
      <w:r>
        <w:t xml:space="preserve">Однако существенно (на 45,7 %) выявлено больше фактов мошенничеств (3268). Их раскрываемость составила всего лишь 27%, что требует в текущем периоде принятия более действенных мер, в т.ч. координационного характера.</w:t>
      </w:r>
    </w:p>
    <w:p>
      <w:pPr>
        <w:pStyle w:val="BodyText"/>
      </w:pPr>
      <w:r>
        <w:t xml:space="preserve">В истекшем году особое внимание нами уделялось надзору за расследованием уголовных дел, имевших большой общественный резонанс, либо затрагивающие интересы большого числа потерпевших. Так, следственными органами завершено расследование и после утверждения обвинительного заключения прокурором направлено в суд уголовное дело по обвинению группы лиц в совершении 457 преступлений, предусмотренных ч. 4 ст. 159 УК РФ (мошенничество, совершенное организованной группой в</w:t>
      </w:r>
      <w:r>
        <w:t xml:space="preserve"> </w:t>
      </w:r>
      <w:hyperlink r:id="rId20">
        <w:r>
          <w:rPr>
            <w:rStyle w:val="Hyperlink"/>
          </w:rPr>
          <w:t xml:space="preserve">особо крупном размере</w:t>
        </w:r>
      </w:hyperlink>
      <w:r>
        <w:t xml:space="preserve">), связанных с обманом вкладчиков банка. Также в производстве следователей находилось ряд сложных преступлений коррупционной направленности, в целом по округу расследовано и направлено в суд 36 эпизодов по коррупции, следователями расследуются 26 уголовных дел по убийствам, из которых уже 16 направлены в суд.</w:t>
      </w:r>
    </w:p>
    <w:p>
      <w:pPr>
        <w:pStyle w:val="BodyText"/>
      </w:pPr>
      <w:r>
        <w:t xml:space="preserve">В 2019 году в прокуратуре округа рассмотрено 8567 обращений граждан по самым различным вопросам, что на 13 % больше, чем за прошлый год (7557). По прежнему большое число обращений, связанных с нарушениями при производстве предварительного следствия и дознания - 931.</w:t>
      </w:r>
    </w:p>
    <w:p>
      <w:pPr>
        <w:pStyle w:val="BodyText"/>
      </w:pPr>
      <w:r>
        <w:t xml:space="preserve">Заявители могут направить обращения о нарушениях закона посредством электронной, почтовой связи, а также ежедневно в прокуратуре организован личный прием в соответствии с утвержденным графиком. Так, на личном приеме за истекший год было в прокуратуре округа принято 1369 граждан.</w:t>
      </w:r>
    </w:p>
    <w:p>
      <w:pPr>
        <w:pStyle w:val="BodyText"/>
      </w:pPr>
      <w:r>
        <w:t xml:space="preserve">На участке надзора за исполнением законов соблюдением прав и свобод граждан прокуратурой округа выявлено 934 нарушения, в целях устранения которых, приняты меры прокурорского реагирования.</w:t>
      </w:r>
    </w:p>
    <w:p>
      <w:pPr>
        <w:pStyle w:val="BodyText"/>
      </w:pPr>
      <w:r>
        <w:t xml:space="preserve">Надзорными мероприятиями в этой сфере были охвачены почти все сферы законодательства. Большое внимание уделялось исполнению трудового и жилищного законодательства, особенно слабозащищённым категориям граждан.</w:t>
      </w:r>
    </w:p>
    <w:p>
      <w:pPr>
        <w:pStyle w:val="BodyText"/>
      </w:pPr>
      <w:r>
        <w:t xml:space="preserve">Так, по результатам проверки решений Городской межведомственной комиссии по решению жилищных вопросов детей-сирот и детей, оставшихся без попечения родителей, лиц из их числа, об отказе в предоставлении жилого помещения направлено 2 исковых заявлений в Пресненский районный суд г. Москвы о признании указанных решений незаконными, заявления рассмотрены, требования прокурора удовлетворены, лицам предоставлены благоустроенные квартиры.</w:t>
      </w:r>
    </w:p>
    <w:p>
      <w:pPr>
        <w:pStyle w:val="BodyText"/>
      </w:pPr>
      <w:r>
        <w:t xml:space="preserve">При проверке ГБУ г. Москвы ТЦСО «Ярославский» установлено, что в нарушение Федерального закона о социальной защите инвалидов в Российской Федерации несовершеннолетнему инвалиду не выплачена компенсация в размере 234.348 рублей за самостоятельно приобретенное техническое средство «аппарат на всю ногу». По результатам внесено представление, 1 должностное лицо привлечено к дисциплинарной ответственности, законному представителю возмещена денежная сумма в полном объеме.</w:t>
      </w:r>
    </w:p>
    <w:p>
      <w:pPr>
        <w:pStyle w:val="BodyText"/>
      </w:pPr>
      <w:r>
        <w:t xml:space="preserve">В сфере трудового законодательства выявлено 73 нарушения, принесено 9 протестов, в суд направлено 23 исковых заявлений, внесено 29 представления, к дисциплинарной ответственности привлечено 36 лиц, к административной - 27, направлен материал в порядке п. 2 ч. 2 ст. 37 УПК РФ на возбуждение уголовного дела в связи с невыплатой заработанной платы.</w:t>
      </w:r>
    </w:p>
    <w:p>
      <w:pPr>
        <w:pStyle w:val="BodyText"/>
      </w:pPr>
      <w:r>
        <w:t xml:space="preserve">Несмотря на принимаемые совместно с межрайонными прокуратурами мерами решить проблему задолженности по заработной плате в целом по округу не представилось возможным. Из-за сложной финансово-экономической ситуации, отсутствия заказов (подрядов), зачастую, в связи с неисполнением контрагентами, расположенными в других субъектах, обязательств по выполненным работам, у организаций-должников отсутствуют денежные средства, необходимые для выплаты зарплаты. Имело место и ненадлежащее исполнение судебными приставами-исполнителями обязанностей по взысканию заработной платы, взысканию денежных средств с контрагентов. По таким фактам прокуратурой также приняты меры реагирования. За истекший период мерами прокурорского реагирования в целом по округу погашена задолженность в сумме 105 млн. 482 тыс. руб.</w:t>
      </w:r>
    </w:p>
    <w:p>
      <w:pPr>
        <w:pStyle w:val="BodyText"/>
      </w:pPr>
      <w:r>
        <w:t xml:space="preserve">Во исполнение приказов Генерального прокурора Российской Федерации должное внимание уделяется защите прав юридических лиц и индивидуальных предпринимателей. В поднадзорных контролирующих органах выявлены массовые нарушения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при проведении внеплановых проверок, оформлении результатов проверок. По результатам приняты меры прокурорского реагирования в отношении поднадзорных контролирующих органов.</w:t>
      </w:r>
    </w:p>
    <w:p>
      <w:pPr>
        <w:pStyle w:val="BodyText"/>
      </w:pPr>
      <w:r>
        <w:t xml:space="preserve">По результатам работы по надзору за исполнением законов о защите прав несовершеннолетних только прокуратурой округа выявлено более 100 нарушений закона, принесено 17 протестов, направлено 9 исковых заявлений, внесено 37 представлений об устранении нарушений закона, 30 должностных лица привлечены к дисциплинарной ответственности, 21 лицо привлечено к административной ответственности, направлено 2 материала в порядке п.2 ч.2 ст.37 УПК РФ, возбуждено 1 уголовное дело.</w:t>
      </w:r>
    </w:p>
    <w:p>
      <w:pPr>
        <w:pStyle w:val="BodyText"/>
      </w:pPr>
      <w:r>
        <w:t xml:space="preserve">При этом за 2019 год на территории округа наблюдается рост</w:t>
      </w:r>
      <w:r>
        <w:br/>
      </w:r>
      <w:r>
        <w:t xml:space="preserve">на 5,0% числа преступлений, совершенных несовершеннолетними или при их участии (с 40 до 42). Рост подростковой преступности отмечен на территории 5-х районов округа: Бибирево, Северное Медведково, Лианозово, Ярославский, Алтуфьевский. Особо хотелось бы выделить проблему распространения наркотических средств среди несовершеннолетних на территории районов Свиблово, Северное и Южное Медведково г. Москвы. Прокуратурой округа проведен ряд организационных мероприятий профилактического характера в данной связи.</w:t>
      </w:r>
    </w:p>
    <w:p>
      <w:pPr>
        <w:pStyle w:val="BodyText"/>
      </w:pPr>
      <w:r>
        <w:t xml:space="preserve">Дальнейшую работу прокуратуры округа планируется строить с учетом анализа результатов прокурорского надзора за 2019 год, активизировав деятельность на наиболее проблемных вопросах.</w:t>
      </w:r>
    </w:p>
    <w:p>
      <w:pPr>
        <w:pStyle w:val="BodyText"/>
      </w:pPr>
      <w:r>
        <w:t xml:space="preserve">Прокурор округа А.Ш. Ризаев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http://bibirevo.mos.ru/presscenter/news/true/detail/8689681.html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E55175B74A69F24BEC6D73260FD1E52C59ED4F1BAC4C4C0B7215EAC4D07391CFADD3FBF681E610D67A1509D66D585937DF01D6410221BCC3IEY4J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689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E55175B74A69F24BEC6D73260FD1E52C59ED4F1BAC4C4C0B7215EAC4D07391CFADD3FBF681E610D67A1509D66D585937DF01D6410221BCC3IEY4J" TargetMode="Externa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689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2023-07-16T14:59:51Z</dcterms:created>
  <dcterms:modified xsi:type="dcterms:W3CDTF">2023-07-16T14:59:51Z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