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новости-фнс.-12.07."/>
    <w:p>
      <w:pPr>
        <w:pStyle w:val="Heading3"/>
      </w:pPr>
      <w:r>
        <w:t xml:space="preserve">Новости ФНС. 12.07.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drawing>
          <wp:inline>
            <wp:extent cx="5334000" cy="75613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2019-07-10%20(1)%20(1)_Страница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1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710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birevo.mos.ru/www/2019-07-10%20(1)%20(1)_Страница_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1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http://bibirevo.mos.ru/presscenter/news/true/detail/8216152.html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ibirevo.mos.ru" TargetMode="External" /><Relationship Type="http://schemas.openxmlformats.org/officeDocument/2006/relationships/hyperlink" Id="rId26" Target="http://bibirevo.mos.ru/presscenter/news/true/detail/8216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birevo.mos.ru" TargetMode="External" /><Relationship Type="http://schemas.openxmlformats.org/officeDocument/2006/relationships/hyperlink" Id="rId26" Target="http://bibirevo.mos.ru/presscenter/news/true/detail/8216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2025-06-04T16:53:25Z</dcterms:created>
  <dcterms:modified xsi:type="dcterms:W3CDTF">2025-06-04T16:53:25Z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