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fd2c2ec44f20d07eb023c45530774a92701e63"/>
    <w:p>
      <w:pPr>
        <w:pStyle w:val="Heading3"/>
      </w:pPr>
      <w:r>
        <w:t xml:space="preserve">C 1 января 2019 года плата в систему «Платон» не учитывается при расчете транспортного налога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r>
        <w:rPr>
          <w:bCs/>
          <w:b/>
        </w:rPr>
        <w:t xml:space="preserve">C 1 января 2019 года плата в систему «Платон»</w:t>
      </w:r>
    </w:p>
    <w:p>
      <w:pPr>
        <w:pStyle w:val="BodyText"/>
      </w:pPr>
      <w:r>
        <w:rPr>
          <w:bCs/>
          <w:b/>
        </w:rPr>
        <w:t xml:space="preserve">не учитывается при расчете транспортного налога</w:t>
      </w:r>
    </w:p>
    <w:p>
      <w:pPr>
        <w:pStyle w:val="BodyText"/>
      </w:pPr>
      <w:r>
        <w:t xml:space="preserve">С 01.01.2019 отменяется вычет по транспортному налогу в размере платы в систему «Платон» за вред, который транспорт с разрешенной максимальной массой свыше 12 тонн причиняет дорогам федерального значения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Федеральным</w:t>
      </w:r>
      <w:r>
        <w:t xml:space="preserve"> </w:t>
      </w:r>
      <w:hyperlink r:id="rId20">
        <w:r>
          <w:rPr>
            <w:rStyle w:val="Hyperlink"/>
          </w:rPr>
          <w:t xml:space="preserve">закон</w:t>
        </w:r>
      </w:hyperlink>
      <w:r>
        <w:t xml:space="preserve">ом от 03.07.2016 № 249-ФЗ «О внесении изменений в часть вторую Налогового Кодекса Российской Федерации» были внесены изменения в главу 28 «Транспортный налог» НК РФ, в соответствии с которыми для налогоплательщиков - организаций был введен вычет по транспортному налогу в размере платы в систему «Платон» за вред, который дорогам федерального значения причиняют грузовые автомобили с разрешенной максимальной массой свыше 12 тонн.</w:t>
      </w:r>
    </w:p>
    <w:p>
      <w:pPr>
        <w:pStyle w:val="BodyText"/>
      </w:pPr>
      <w:r>
        <w:t xml:space="preserve">Такой порядок изначально был установлен как временный и распространялся на правоотношения, возникшие с 1 января 2016 года по 31 декабря 2018 года включительно (пункты 2 и 4 статьи 2 Федерального закона № 249-ФЗ).</w:t>
      </w:r>
    </w:p>
    <w:p>
      <w:pPr>
        <w:pStyle w:val="BodyText"/>
      </w:pPr>
      <w:r>
        <w:t xml:space="preserve">Таким образом, с 1 января 2019 года плата в систему «Платон» не учитывается при расчете транспортного налога и налогоплательщики - организации уплачивают транспортный налог в общем порядке. Одновременно указанным Федеральным законом</w:t>
      </w:r>
      <w:r>
        <w:t xml:space="preserve"> </w:t>
      </w:r>
      <w:hyperlink r:id="rId21">
        <w:r>
          <w:rPr>
            <w:rStyle w:val="Hyperlink"/>
          </w:rPr>
          <w:t xml:space="preserve">отменено</w:t>
        </w:r>
      </w:hyperlink>
      <w:r>
        <w:t xml:space="preserve"> </w:t>
      </w:r>
      <w:hyperlink r:id="rId22">
        <w:r>
          <w:rPr>
            <w:rStyle w:val="Hyperlink"/>
          </w:rPr>
          <w:t xml:space="preserve">ограничение</w:t>
        </w:r>
      </w:hyperlink>
      <w:r>
        <w:t xml:space="preserve"> </w:t>
      </w:r>
      <w:r>
        <w:t xml:space="preserve">на учет расходов по налогу на прибыль и по налогу, уплачиваемому в связи с применением упрощенной системы налогообложения, и всю сумму платы в систему «Платон»</w:t>
      </w:r>
      <w:r>
        <w:t xml:space="preserve"> </w:t>
      </w:r>
      <w:hyperlink r:id="rId23">
        <w:r>
          <w:rPr>
            <w:rStyle w:val="Hyperlink"/>
          </w:rPr>
          <w:t xml:space="preserve">можно учитывать</w:t>
        </w:r>
      </w:hyperlink>
      <w:r>
        <w:t xml:space="preserve"> </w:t>
      </w:r>
      <w:r>
        <w:t xml:space="preserve">в составе</w:t>
      </w:r>
      <w:r>
        <w:t xml:space="preserve"> </w:t>
      </w:r>
      <w:hyperlink r:id="rId24">
        <w:r>
          <w:rPr>
            <w:rStyle w:val="Hyperlink"/>
          </w:rPr>
          <w:t xml:space="preserve">расходов</w:t>
        </w:r>
      </w:hyperlink>
      <w:r>
        <w:t xml:space="preserve"> </w:t>
      </w:r>
      <w:r>
        <w:t xml:space="preserve">(пункт 4 статьи 2 Федерального закона № 249-ФЗ).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http://bibirevo.mos.ru/presscenter/news/true/detail/8033827.html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0E3FC6CA80B7F3CD620DF5EC2B2A1F9A40CDAA63AB5915DE9CE637CBE547D7B6116C18D244704D2ECFB21EE82DDAD0EDAC9518EE4C148730r1C6I" TargetMode="External" /><Relationship Type="http://schemas.openxmlformats.org/officeDocument/2006/relationships/hyperlink" Id="rId24" Target="consultantplus://offline/ref=0E3FC6CA80B7F3CD620DF5EC2B2A1F9A42C4A66BA55215DE9CE637CBE547D7B6116C18D244724F28CFB21EE82DDAD0EDAC9518EE4C148730r1C6I" TargetMode="External" /><Relationship Type="http://schemas.openxmlformats.org/officeDocument/2006/relationships/hyperlink" Id="rId22" Target="consultantplus://offline/ref=0E3FC6CA80B7F3CD620DF5EC2B2A1F9A42C4A768AB5215DE9CE637CBE547D7B6116C18D24770482FCDED1BFD3C82DDE8B78B1CF4501686r3C8I" TargetMode="External" /><Relationship Type="http://schemas.openxmlformats.org/officeDocument/2006/relationships/hyperlink" Id="rId21" Target="consultantplus://offline/ref=0E3FC6CA80B7F3CD620DF5EC2B2A1F9A43C2AA6AA25C15DE9CE637CBE547D7B6116C18D14F241C6A93B44ABC778FD9F3AB8B19rEC3I" TargetMode="External" /><Relationship Type="http://schemas.openxmlformats.org/officeDocument/2006/relationships/hyperlink" Id="rId20" Target="consultantplus://offline/ref=4AAF9CD8BDAB72082EE25DA380EC46250851F149FC3831F749D5CA0D20B46DB3F13EF98362E53084393FC7F00B97D1C005125ADBDAC1ADC2V1YDM" TargetMode="Externa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true/detail/8033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0E3FC6CA80B7F3CD620DF5EC2B2A1F9A40CDAA63AB5915DE9CE637CBE547D7B6116C18D244704D2ECFB21EE82DDAD0EDAC9518EE4C148730r1C6I" TargetMode="External" /><Relationship Type="http://schemas.openxmlformats.org/officeDocument/2006/relationships/hyperlink" Id="rId24" Target="consultantplus://offline/ref=0E3FC6CA80B7F3CD620DF5EC2B2A1F9A42C4A66BA55215DE9CE637CBE547D7B6116C18D244724F28CFB21EE82DDAD0EDAC9518EE4C148730r1C6I" TargetMode="External" /><Relationship Type="http://schemas.openxmlformats.org/officeDocument/2006/relationships/hyperlink" Id="rId22" Target="consultantplus://offline/ref=0E3FC6CA80B7F3CD620DF5EC2B2A1F9A42C4A768AB5215DE9CE637CBE547D7B6116C18D24770482FCDED1BFD3C82DDE8B78B1CF4501686r3C8I" TargetMode="External" /><Relationship Type="http://schemas.openxmlformats.org/officeDocument/2006/relationships/hyperlink" Id="rId21" Target="consultantplus://offline/ref=0E3FC6CA80B7F3CD620DF5EC2B2A1F9A43C2AA6AA25C15DE9CE637CBE547D7B6116C18D14F241C6A93B44ABC778FD9F3AB8B19rEC3I" TargetMode="External" /><Relationship Type="http://schemas.openxmlformats.org/officeDocument/2006/relationships/hyperlink" Id="rId20" Target="consultantplus://offline/ref=4AAF9CD8BDAB72082EE25DA380EC46250851F149FC3831F749D5CA0D20B46DB3F13EF98362E53084393FC7F00B97D1C005125ADBDAC1ADC2V1YDM" TargetMode="Externa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true/detail/8033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2024-10-04T22:23:58Z</dcterms:created>
  <dcterms:modified xsi:type="dcterms:W3CDTF">2024-10-04T22:23:58Z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