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c42caf984dbaf3cbe90a8a21f79afb9113d878"/>
    <w:p>
      <w:pPr>
        <w:pStyle w:val="Heading3"/>
      </w:pPr>
      <w:r>
        <w:t xml:space="preserve">Постановка организаций на учет ВК Бутырского района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drawing>
          <wp:inline>
            <wp:extent cx="5334000" cy="75861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birevo.mos.ru/www/upload/medialibrary/7be/goodk12uycp0i1lsd1zr5k4sahf5l0to/dokument_2023_10_23-_7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61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http://bibirevo.mos.ru/presscenter/news/true/detail/11926334.html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11926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birevo.mos.ru" TargetMode="External" /><Relationship Type="http://schemas.openxmlformats.org/officeDocument/2006/relationships/hyperlink" Id="rId23" Target="http://bibirevo.mos.ru/presscenter/news/true/detail/11926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2025-08-05T14:46:50Z</dcterms:created>
  <dcterms:modified xsi:type="dcterms:W3CDTF">2025-08-05T14:46:50Z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