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76c1e316e58622b15ab9a4f84f401a5e7969d8a"/>
    <w:p>
      <w:pPr>
        <w:pStyle w:val="Heading3"/>
      </w:pPr>
      <w:r>
        <w:t xml:space="preserve">ЕГРН дополнится сведениями об аварийности жилья</w:t>
      </w:r>
    </w:p>
    <w:p>
      <w:pPr>
        <w:pStyle w:val="FirstParagraph"/>
      </w:pPr>
      <w:r>
        <w:t xml:space="preserve">26.07.2021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Расширяется состав сведений, вносимых в Единый государственный реестр недвижимости (ЕГРН)</w:t>
      </w:r>
    </w:p>
    <w:p>
      <w:pPr>
        <w:pStyle w:val="BodyText"/>
      </w:pPr>
      <w:r>
        <w:rPr>
          <w:bCs/>
          <w:b/>
        </w:rPr>
        <w:t xml:space="preserve">С 1 февраля 2022 года вступает в силу Федеральный закон</w:t>
      </w:r>
      <w:r>
        <w:br/>
      </w:r>
      <w:r>
        <w:rPr>
          <w:bCs/>
          <w:b/>
        </w:rPr>
        <w:t xml:space="preserve">от 26 мая 2021 года № 148-ФЗ «О внесении изменений в Федеральный закон</w:t>
      </w:r>
      <w:r>
        <w:br/>
      </w:r>
      <w:r>
        <w:rPr>
          <w:bCs/>
          <w:b/>
        </w:rPr>
        <w:t xml:space="preserve">«О государственной регистрации недвижимости». Согласно документу,</w:t>
      </w:r>
      <w:r>
        <w:br/>
      </w:r>
      <w:r>
        <w:rPr>
          <w:bCs/>
          <w:b/>
        </w:rPr>
        <w:t xml:space="preserve">выписка из реестра недвижимости теперь будет содержать сведения</w:t>
      </w:r>
      <w:r>
        <w:br/>
      </w:r>
      <w:r>
        <w:rPr>
          <w:bCs/>
          <w:b/>
        </w:rPr>
        <w:t xml:space="preserve">о признании многоквартирного дома аварийным и подлежащим сносу</w:t>
      </w:r>
      <w:r>
        <w:br/>
      </w:r>
      <w:r>
        <w:rPr>
          <w:bCs/>
          <w:b/>
        </w:rPr>
        <w:t xml:space="preserve">или реконструкции, а также сведения о признании жилья непригодным</w:t>
      </w:r>
      <w:r>
        <w:br/>
      </w:r>
      <w:r>
        <w:rPr>
          <w:bCs/>
          <w:b/>
        </w:rPr>
        <w:t xml:space="preserve">для проживания.</w:t>
      </w:r>
    </w:p>
    <w:p>
      <w:pPr>
        <w:pStyle w:val="BodyText"/>
      </w:pPr>
      <w:r>
        <w:t xml:space="preserve">Документом также устанавливается обязанность органов государственной власти и органов местного самоуправления по направлению в орган регистрации прав документов для внесения сведений в ЕГРН, в случае принятия ими решений</w:t>
      </w:r>
      <w:r>
        <w:br/>
      </w:r>
      <w:r>
        <w:t xml:space="preserve">о признании многоквартирного дома аварийным и подлежащим сносу</w:t>
      </w:r>
      <w:r>
        <w:br/>
      </w:r>
      <w:r>
        <w:t xml:space="preserve">или реконструкции и (или) о признании жилого помещения, в том числе жилого дома, непригодным для проживания.</w:t>
      </w:r>
    </w:p>
    <w:p>
      <w:pPr>
        <w:pStyle w:val="BodyText"/>
      </w:pPr>
      <w:r>
        <w:t xml:space="preserve">Сведения о многоквартирных домах и жилых помещениях, признанных ранее аварийными или непригодными для проживания, должны быть направлены в органы регистрации прав компетентными службами до 1 июля 2022 года.</w:t>
      </w:r>
    </w:p>
    <w:p>
      <w:pPr>
        <w:pStyle w:val="BodyText"/>
      </w:pPr>
      <w:r>
        <w:t xml:space="preserve">В свою очередь, с 1 февраля 2022 года выписка из ЕГРН должна дополнительно содержать общедоступные сведения о признании многоквартирного дома аварийным и подлежащим сносу или реконструкции и (или) о признании жилого помещения,</w:t>
      </w:r>
      <w:r>
        <w:br/>
      </w:r>
      <w:r>
        <w:t xml:space="preserve">в том числе жилого дома, непригодным для проживания.</w:t>
      </w:r>
    </w:p>
    <w:p>
      <w:pPr>
        <w:pStyle w:val="BodyText"/>
      </w:pPr>
      <w:r>
        <w:rPr>
          <w:iCs/>
          <w:i/>
        </w:rPr>
        <w:t xml:space="preserve">«Нововведения позволят повысить уровень информированности населения,</w:t>
      </w:r>
      <w:r>
        <w:br/>
      </w:r>
      <w:r>
        <w:rPr>
          <w:iCs/>
          <w:i/>
        </w:rPr>
        <w:t xml:space="preserve">а также обеспечить защиту прав граждан при оформлении сделок</w:t>
      </w:r>
      <w:r>
        <w:br/>
      </w:r>
      <w:r>
        <w:rPr>
          <w:iCs/>
          <w:i/>
        </w:rPr>
        <w:t xml:space="preserve">с недвижимостью», –</w:t>
      </w:r>
      <w:r>
        <w:t xml:space="preserve"> </w:t>
      </w:r>
      <w:r>
        <w:rPr>
          <w:bCs/>
          <w:b/>
        </w:rPr>
        <w:t xml:space="preserve">отметила директор Кадастровой палаты по Москве Елена Спиридонова</w:t>
      </w:r>
      <w:r>
        <w:t xml:space="preserve">.</w:t>
      </w:r>
    </w:p>
    <w:p>
      <w:pPr>
        <w:pStyle w:val="BodyText"/>
      </w:pPr>
      <w:r>
        <w:t xml:space="preserve">Напомним, заказать выписку из ЕГРН можно в бумажном виде, путем подачи заявления в любой офис МФЦ, или в электронном виде, воспользовавшись</w:t>
      </w:r>
      <w:r>
        <w:br/>
      </w:r>
      <w:hyperlink r:id="rId20">
        <w:r>
          <w:rPr>
            <w:rStyle w:val="Hyperlink"/>
          </w:rPr>
          <w:t xml:space="preserve">онлайн-сервисами Федеральной кадастровой палаты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Росреестра</w:t>
        </w:r>
      </w:hyperlink>
      <w:r>
        <w:t xml:space="preserve"> </w:t>
      </w:r>
      <w:r>
        <w:t xml:space="preserve">или</w:t>
      </w:r>
      <w:r>
        <w:t xml:space="preserve"> </w:t>
      </w:r>
      <w:hyperlink r:id="rId22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t xml:space="preserve">Обращаем внимание, что выписка из ЕГРН, полученная в электронном виде, имеет такую же юридическую силу, как и бумажный документ, и заверяется электронной подписью органа регистрации прав.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(вн.23-33)</w:t>
      </w:r>
    </w:p>
    <w:p>
      <w:pPr>
        <w:pStyle w:val="BodyText"/>
      </w:pPr>
      <w:hyperlink r:id="rId23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http://bibirevo.mos.ru/presscenter/news/true/detail/10131873.html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bibirevo.mos.ru" TargetMode="External" /><Relationship Type="http://schemas.openxmlformats.org/officeDocument/2006/relationships/hyperlink" Id="rId25" Target="http://bibirevo.mos.ru/presscenter/news/true/detail/10131873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1" Target="https://rosreestr.gov.ru/wps/portal/p/cc_present/EGRN_1" TargetMode="External" /><Relationship Type="http://schemas.openxmlformats.org/officeDocument/2006/relationships/hyperlink" Id="rId20" Target="https://spv.kadastr.ru/" TargetMode="External" /><Relationship Type="http://schemas.openxmlformats.org/officeDocument/2006/relationships/hyperlink" Id="rId22" Target="https://www.gosuslugi.ru/283020" TargetMode="External" /><Relationship Type="http://schemas.openxmlformats.org/officeDocument/2006/relationships/hyperlink" Id="rId23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ibirevo.mos.ru" TargetMode="External" /><Relationship Type="http://schemas.openxmlformats.org/officeDocument/2006/relationships/hyperlink" Id="rId25" Target="http://bibirevo.mos.ru/presscenter/news/true/detail/10131873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1" Target="https://rosreestr.gov.ru/wps/portal/p/cc_present/EGRN_1" TargetMode="External" /><Relationship Type="http://schemas.openxmlformats.org/officeDocument/2006/relationships/hyperlink" Id="rId20" Target="https://spv.kadastr.ru/" TargetMode="External" /><Relationship Type="http://schemas.openxmlformats.org/officeDocument/2006/relationships/hyperlink" Id="rId22" Target="https://www.gosuslugi.ru/283020" TargetMode="External" /><Relationship Type="http://schemas.openxmlformats.org/officeDocument/2006/relationships/hyperlink" Id="rId23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2023-10-10T20:13:54Z</dcterms:created>
  <dcterms:modified xsi:type="dcterms:W3CDTF">2023-10-10T20:13:54Z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