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f3767cf027439825bf89768e30dd919699f33"/>
    <w:p>
      <w:pPr>
        <w:pStyle w:val="Heading3"/>
      </w:pPr>
      <w:r>
        <w:t xml:space="preserve">Проект «Активный гражданин» отпразднует свой юбилей акцией в метро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t xml:space="preserve">Метрополитен Москвы совместно с проектом «Активный гражданин» проведут в мае 2016 года специальную акцию, которая позволит участникам проекта рассказать о своих победах, достигнутых с помощью «Активного гражданина».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«Портрет в метро» пройдет в столице в мае этого года. Она приурочена к двухлетнему юбилею проекта «Активный гражданин», который пользуется популярностью среди населения. В акции могут принять участие все желающие. Подать заявки можно будет, начиная с 18 апреля. Подавать их необходимо в электронном формате. В заявке должна быть фотография на белом фоне с улыбающимся участником в хорошем разрешении, чтобы можно было ее использовать, и небольшое эссе, не длиннее 300 символов, в котором участник должен рассказать, чем его заинтересовал проект.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Вагоны метро, оформленные для акции, будут ходить по Кольцевой линии, чтобы их смогло оценить максимально большое количество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http://bibirevo.mos.ru/presscenter/news/detail/2718803.html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718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718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2025-04-10T01:03:23Z</dcterms:created>
  <dcterms:modified xsi:type="dcterms:W3CDTF">2025-04-10T01:03:23Z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