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00083076c2ee4b430e67b35923f972bc39d90"/>
    <w:p>
      <w:pPr>
        <w:pStyle w:val="Heading3"/>
      </w:pPr>
      <w:r>
        <w:t xml:space="preserve">Госучреждения СВАО запланировали более 700 спортивных и досуговых мероприятий</w:t>
      </w:r>
    </w:p>
    <w:p>
      <w:pPr>
        <w:pStyle w:val="FirstParagraph"/>
      </w:pPr>
      <w:r>
        <w:t xml:space="preserve">29.01.2016</w:t>
      </w:r>
    </w:p>
    <w:bookmarkStart w:id="20" w:name="articleHeader"/>
    <w:p>
      <w:pPr>
        <w:pStyle w:val="BodyText"/>
      </w:pPr>
      <w:r>
        <w:rPr>
          <w:bCs/>
          <w:b/>
        </w:rPr>
        <w:t xml:space="preserve">Государственные бюджетные учреждения и некоммерческие организации  Северо-Восточного округа запланировали на первый квартал 2016 года  проведение 762 спортивных и досуговых мероприятий.</w:t>
      </w:r>
    </w:p>
    <w:p>
      <w:pPr>
        <w:pStyle w:val="BodyText"/>
      </w:pPr>
      <w:r>
        <w:t xml:space="preserve">Об этом на заседании Координационного совета префектуры по взаимодействию органов исполнительной власти с органами местного самоуправления рассказала заместитель префекта СВАО Юлия Гримальская.</w:t>
      </w:r>
      <w:r>
        <w:br/>
      </w:r>
    </w:p>
    <w:bookmarkEnd w:id="20"/>
    <w:p>
      <w:pPr>
        <w:pStyle w:val="BodyText"/>
      </w:pPr>
      <w:r>
        <w:t xml:space="preserve">По информации зампрефекта, на территории округа действует 17 ГБУ и 47 НКО. Для ведения досуговой, социально-воспитательной и культурно-оздоровительной работы им выделено 111 нежилых помещений. Кроме того, нынешней зимой в СВАО функционирует 419 спортивных сооружений, расположенных во дворах, в том числе - 146 катков. За каждым из них закреплён ответственный сотрудник, который проводит там занятия, тренировки, мастер-классы и дворовые праздники.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- К сожалению, большинство из них находится в подвальных помещениях, но мы от них не отказываемся. Принято решение, что там занимаются люди старшего возраста и подростки от 14 лет. Часть помещений нуждается в капитальном или косметическом ремонте. На 2016 год за счёт префектуры предусмотрен ремонт таких помещений в районах Алексеевский и Марьина роща, - отметила Гримальская.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Зампрефекта подчеркнула, что запись в кружки и секции ведется в электронном виде - через портал госуслуг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http://bibirevo.mos.ru/presscenter/news/detail/2476987.html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476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476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2025-01-27T13:36:57Z</dcterms:created>
  <dcterms:modified xsi:type="dcterms:W3CDTF">2025-01-27T13:36:57Z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