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49481892a97612397dd4f9ca546dfde958679e"/>
    <w:p>
      <w:pPr>
        <w:pStyle w:val="Heading3"/>
      </w:pPr>
      <w:r>
        <w:t xml:space="preserve">Проводится декларационная кампания участников алкогольного рынка</w:t>
      </w:r>
    </w:p>
    <w:p>
      <w:pPr>
        <w:pStyle w:val="FirstParagraph"/>
      </w:pPr>
      <w:r>
        <w:t xml:space="preserve">07.07.2015</w:t>
      </w:r>
    </w:p>
    <w:p>
      <w:pPr>
        <w:pStyle w:val="BodyText"/>
      </w:pPr>
      <w:r>
        <w:rPr>
          <w:u w:val="single"/>
          <w:bCs/>
          <w:b/>
        </w:rPr>
        <w:t xml:space="preserve">Внимание участников алкогольного рынка!</w:t>
      </w:r>
    </w:p>
    <w:p>
      <w:pPr>
        <w:pStyle w:val="BodyText"/>
      </w:pPr>
      <w:r>
        <w:rPr>
          <w:bCs/>
          <w:b/>
        </w:rPr>
        <w:t xml:space="preserve">С 1 по 20 июля 2015 года</w:t>
      </w:r>
      <w:r>
        <w:t xml:space="preserve"> </w:t>
      </w:r>
      <w:r>
        <w:t xml:space="preserve">проводится декларационная кампания</w:t>
      </w:r>
      <w:r>
        <w:t xml:space="preserve"> </w:t>
      </w:r>
      <w:r>
        <w:rPr>
          <w:bCs/>
          <w:b/>
        </w:rPr>
        <w:t xml:space="preserve">за 2 квартал 2015 года.</w:t>
      </w:r>
    </w:p>
    <w:p>
      <w:pPr>
        <w:pStyle w:val="BodyText"/>
      </w:pPr>
      <w:r>
        <w:t xml:space="preserve">Декларации об объеме розничной продажи алкогольной и спиртосодержащей продукции по форме 11, декларации об объеме розничной продажи пива и пивных напитков, сидра, пуаре, медовухи по форме 12 за 2 квартал 2015 года необходимо подать</w:t>
      </w:r>
      <w:r>
        <w:t xml:space="preserve"> </w:t>
      </w:r>
      <w:r>
        <w:rPr>
          <w:bCs/>
          <w:b/>
        </w:rPr>
        <w:t xml:space="preserve">до 20 июля 2015 года</w:t>
      </w:r>
      <w:r>
        <w:t xml:space="preserve">.</w:t>
      </w:r>
    </w:p>
    <w:p>
      <w:pPr>
        <w:pStyle w:val="BodyText"/>
      </w:pPr>
      <w:r>
        <w:t xml:space="preserve">Организации, осуществляющие розничную продажу алкогольной и спиртосодержащей непищевой продукции, пива и пивных напитков сидра, пуаре, медовухи и зарегистрированные на территории города Москвы представляют декларации по форме 11 и 12</w:t>
      </w:r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, формат которого утвержден приказом Росалкогольрегулирования от 05 августа 2013 г. №198 на региональную площадку города Москвы</w:t>
      </w:r>
      <w:r>
        <w:t xml:space="preserve"> </w:t>
      </w:r>
      <w:r>
        <w:rPr>
          <w:bCs/>
          <w:b/>
        </w:rPr>
        <w:t xml:space="preserve">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t xml:space="preserve">Декларации в форме электронного документа подписываются усиленной квалифицированной электронной подписью, сертификат ключа проверки которой выдан удостоверяющим центром, аккредитованным Минкомсвязи России. Перечень аккредитованных удостоверяющих центров опубликован на сайте</w:t>
      </w:r>
      <w:r>
        <w:t xml:space="preserve"> </w:t>
      </w:r>
      <w:hyperlink r:id="rId21">
        <w:r>
          <w:rPr>
            <w:rStyle w:val="Hyperlink"/>
          </w:rPr>
          <w:t xml:space="preserve">http://minsvyaz.ru/ru/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t xml:space="preserve">Обращаем внимание, что представление деклараций является прямой обязанностью юридического лица, имеющего действующую лицензию на розничную продажу алкогольной продукции,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>
      <w:pPr>
        <w:pStyle w:val="BodyText"/>
      </w:pPr>
      <w:r>
        <w:rPr>
          <w:bCs/>
          <w:b/>
        </w:rP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rPr>
          <w:bCs/>
          <w:b/>
        </w:rPr>
        <w:t xml:space="preserve">В связи с отсутствием автоматической возможности гарантированно определять место регистрации, организациям и индивидуальным предпринимателям предоставлена возможность самостоятельно определять регион принадлежности. Особенно это касается организаций, которые сменили принадлежность с 50 региона на 77.</w:t>
      </w:r>
    </w:p>
    <w:p>
      <w:pPr>
        <w:pStyle w:val="BodyText"/>
      </w:pPr>
      <w:r>
        <w:t xml:space="preserve">За нарушение требований законодательства в части непредставления деклараций,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п.3 ст. 20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п.9 статьи 19 171 Федерального закона, п.2.21.2. Административного регламента, утвержденного постановлением Правительства Москвы от 21.02.2012 №59-ПП, является, в том числе несоответствие заявителя иным лицензионным требованиям, а именно искажение и (или) непредставление в установленные сроки деклараций.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http://bibirevo.mos.ru/presscenter/news/detail/1987724.html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1987724.html" TargetMode="External" /><Relationship Type="http://schemas.openxmlformats.org/officeDocument/2006/relationships/hyperlink" Id="rId21" Target="http://minsvyaz.ru/ru/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1987724.html" TargetMode="External" /><Relationship Type="http://schemas.openxmlformats.org/officeDocument/2006/relationships/hyperlink" Id="rId21" Target="http://minsvyaz.ru/ru/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2025-02-14T17:08:46Z</dcterms:created>
  <dcterms:modified xsi:type="dcterms:W3CDTF">2025-02-14T17:08:46Z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