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нос-гаражей-пройдет-летом-в-бибирево"/>
    <w:p>
      <w:pPr>
        <w:pStyle w:val="Heading3"/>
      </w:pPr>
      <w:r>
        <w:t xml:space="preserve">Снос гаражей пройдет летом в Бибирево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  <w:r>
        <w:t xml:space="preserve">Во исполнениепротоколов заседаний Окружных комиссий по пресечению самовольного строительства от 24.04.2015 года №8, от 15.05.2015 года №9, от 10.04.2015 года №6 на территории района Бибирево будет проводиться демонтаж незаконно установленных металлических тентов, навесов и гаражей по адресам: ул. Конёнкова, 21; ул. Мурановская, вл.12-12А; Шенкурский проезд, вл. 3; Шенкурский проезд, 12А; Алтуфьевское шоссе, вл. 82.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http://bibirevo.mos.ru/presscenter/news/detail/1915717.html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915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915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2025-08-05T14:47:56Z</dcterms:created>
  <dcterms:modified xsi:type="dcterms:W3CDTF">2025-08-05T14:47:56Z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