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31bd0bbce3fcb3cefe7857e150790f44d647"/>
    <w:p>
      <w:pPr>
        <w:pStyle w:val="Heading3"/>
      </w:pPr>
      <w:r>
        <w:t xml:space="preserve">В районном центре "Будапешт" и в Парке света прошли развлекательные программы</w:t>
      </w:r>
    </w:p>
    <w:p>
      <w:pPr>
        <w:pStyle w:val="FirstParagraph"/>
      </w:pPr>
      <w:r>
        <w:t xml:space="preserve">02.06.2021</w:t>
      </w:r>
    </w:p>
    <w:p>
      <w:pPr>
        <w:pStyle w:val="BodyText"/>
      </w:pPr>
      <w:r>
        <w:rPr>
          <w:bCs/>
          <w:b/>
        </w:rPr>
        <w:t xml:space="preserve">Вчера, в День защиты детей, в районном центре «Будапешт» на улице Лескова, 14, и в Парке света на Костромской прошли развлекательные мероприятия для юных жителей Бибирева и их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в Парке Света при участии сотрудников дома культуры "Темп" были организованы весёлые флешмобы и подвижные игры.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http://bibirevo.mos.ru/presscenter/news/detail/10000033.html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000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000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2025-08-04T20:20:20Z</dcterms:created>
  <dcterms:modified xsi:type="dcterms:W3CDTF">2025-08-04T20:20:20Z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